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gif" ContentType="image/gif"/>
  <Override PartName="/word/media/image2.gif" ContentType="image/gif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/>
        <w:t>COMUNICATO STAMPA</w:t>
      </w:r>
    </w:p>
    <w:p>
      <w:pPr>
        <w:pStyle w:val="Normal"/>
        <w:jc w:val="center"/>
        <w:rPr/>
      </w:pPr>
      <w:r>
        <w:rPr/>
        <w:t>Bellaria Igea Marina, 4 ottobre 2019</w:t>
      </w:r>
    </w:p>
    <w:p>
      <w:pPr>
        <w:pStyle w:val="Normal"/>
        <w:jc w:val="center"/>
        <w:rPr/>
      </w:pPr>
      <w:r>
        <w:rPr/>
        <w:t>----</w:t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  <w:t>Kiklos 2019, una grande stagione di turismo sportivo</w:t>
      </w:r>
    </w:p>
    <w:p>
      <w:pPr>
        <w:pStyle w:val="Normal"/>
        <w:jc w:val="center"/>
        <w:rPr>
          <w:b/>
          <w:b/>
          <w:i/>
          <w:i/>
        </w:rPr>
      </w:pPr>
      <w:r>
        <w:rPr>
          <w:b/>
          <w:i/>
        </w:rPr>
        <w:t>15.500 partecipanti e oltre 35.500 presenze alberghiere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La stagione Kiklos 2019 si è conclusa, con gli ultimi eventi in calendario: Beach Volley Kiklos Settembre e Land on the Sand, rispettivamente l’evento di beach volley open e il torneo aziendale dell’alleanza di compagnie aeree SkyTeam.</w:t>
      </w:r>
    </w:p>
    <w:p>
      <w:pPr>
        <w:pStyle w:val="Normal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rPr/>
      </w:pPr>
      <w:r>
        <w:rPr/>
        <w:t xml:space="preserve">È il momento di tirare le somme, al termine di una stagione intensa. Circa </w:t>
      </w:r>
      <w:r>
        <w:rPr>
          <w:b/>
          <w:bCs/>
        </w:rPr>
        <w:t>15.500 partecipanti</w:t>
      </w:r>
      <w:r>
        <w:rPr/>
        <w:t xml:space="preserve"> hanno preso parte alle manifestazioni Kiklos, </w:t>
      </w:r>
      <w:r>
        <w:rPr>
          <w:b/>
          <w:bCs/>
        </w:rPr>
        <w:t>oltre 35.500 le presenze alberghiere</w:t>
      </w:r>
      <w:r>
        <w:rPr/>
        <w:t xml:space="preserve"> registrate e 2.500 le squadre accolte. Un centinaio di hotel hanno ospitato circa </w:t>
      </w:r>
      <w:r>
        <w:rPr>
          <w:b/>
          <w:bCs/>
        </w:rPr>
        <w:t>330 società giovanili e migliaia di sportivi</w:t>
      </w:r>
      <w:r>
        <w:rPr/>
        <w:t xml:space="preserve"> da tutta Italia e non solo: Lombardia, Piemonte, Emilia Romagna, Marche, Umbria, Toscana, Puglia senza tralasciare le presenze dalla Svizzera e dalla Spagna. </w:t>
      </w:r>
    </w:p>
    <w:p>
      <w:pPr>
        <w:pStyle w:val="Normal"/>
        <w:rPr/>
      </w:pPr>
      <w:r>
        <w:rPr/>
        <w:t xml:space="preserve">Tre eventi giovanili (di cui uno multisportivo), tre eventi senior, un evento aziendale e decine di camp per società sportive: questo il ventaglio delle manifestazioni Kiklos organizzate da aprile a settembre. Teatro principale di gran parte degli eventi è Bellaria Igea Marina. Viserba di Rimini e Cesenatico sono le altre località coinvolte.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In assoluto, il settore eventi senior e quello delle vacanze sportive risultano le aree maggiormente in crescita, segnando un +20% di partecipanti rispetto all’anno scorso. Alle manifestazioni giovanili spetta, invece, il record degli spazi occupati: Happyfania Volley con ben 15 impianti utilizzati e Young Volley on the beach con 200 campi montati lungo 1 km di spiaggia nonché 17 stabilimenti balneari.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>Numeri e percezioni che premiano l’impegno e le strategie</w:t>
      </w:r>
      <w:r>
        <w:rPr/>
        <w:t xml:space="preserve"> perseguite, sia tecniche che organizzative. Da un lato formule sportive adatte sia ai giocatori professionisti, sia alle società giovanili e agli amatori. Dall’altro, programmi variopinti e flessibilità di fronte alle varie esigenze. In questo senso, garanzia di grande qualità è la sempre più affidabile collaborazione con Active Hotels, Viv’Igea, Fondazione Verdeblu e tutte le associazioni connesse (in particolare gli stabilimenti balneari coinvolti nello Young Volley), PA Incentive Promozione Alberghiera, Beky Bay, Mito Mapo Club, Dinamo Pallavolo Bellaria Igea Marina e tutti gli esercizi commerciali coinvolti.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Non solo relazioni istituzionali locali ma da segnalare anche le </w:t>
      </w:r>
      <w:r>
        <w:rPr>
          <w:b/>
          <w:bCs/>
        </w:rPr>
        <w:t>grandi partnership nazionali</w:t>
      </w:r>
      <w:r>
        <w:rPr/>
        <w:t xml:space="preserve"> strette da Kiklos: Cisalfa Sport in qualità di main sponsor di tutte le manifestazioni giovanili, denominate Kiklos Young; Wilson in qualità di partner tecnico di tutti gli eventi e RDS in qualità di official radio.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Cs/>
        </w:rPr>
        <w:t>Anche il</w:t>
      </w:r>
      <w:r>
        <w:rPr/>
        <w:t xml:space="preserve"> </w:t>
      </w:r>
      <w:r>
        <w:rPr>
          <w:b/>
          <w:bCs/>
        </w:rPr>
        <w:t>palmares</w:t>
      </w:r>
      <w:r>
        <w:rPr/>
        <w:t xml:space="preserve"> dei partecipanti cresce di anno in anno, con atleti/e professionisti di serie A e nomi noti nel panorama del beach volley italiano/europeo: un elemento di prestigio che funge da traino per il pubblico. Notevoli anche le interazioni sui social network ufficiali Kiklos, laddove le dirette delle finali sono seguite da migliaia di follower. </w:t>
      </w:r>
    </w:p>
    <w:p>
      <w:pPr>
        <w:pStyle w:val="Normal"/>
        <w:rPr/>
      </w:pPr>
      <w:r>
        <w:rPr/>
        <w:t xml:space="preserve">Tutte le attività svolte riservano sempre un occhio di riguardo anche al tema della </w:t>
      </w:r>
      <w:r>
        <w:rPr>
          <w:b/>
        </w:rPr>
        <w:t>responsabilità sociale d’impresa</w:t>
      </w:r>
      <w:r>
        <w:rPr/>
        <w:t>: dal sostegno a RiminiAIL con l’organizzazione di partite ludiche finalizzate alla raccolta fondi, al progetto eko-Kiklos in termini di sostenibilità ambientale durante le manifestazioni e, infine, al sostegno di realtà innovative e sostenibili.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 xml:space="preserve">Fair play, divertimento e ospitalità </w:t>
      </w:r>
      <w:r>
        <w:rPr/>
        <w:t>sono le tre grandi parole d’ordine che descrivono il turismo sportivo firmato Kiklos. Gli obiettivi per il 2020 sono scritti: Kiklos è già al lavoro per organizzare la prossima stagione.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18"/>
        </w:rPr>
      </w:pPr>
      <w:r>
        <w:rPr>
          <w:sz w:val="18"/>
        </w:rPr>
      </w:r>
    </w:p>
    <w:p>
      <w:pPr>
        <w:pStyle w:val="Normal"/>
        <w:rPr>
          <w:sz w:val="18"/>
        </w:rPr>
      </w:pPr>
      <w:r>
        <w:rPr>
          <w:sz w:val="18"/>
        </w:rPr>
        <w:t>Kiklos SSD a RL</w:t>
      </w:r>
    </w:p>
    <w:p>
      <w:pPr>
        <w:pStyle w:val="Normal"/>
        <w:rPr>
          <w:sz w:val="18"/>
        </w:rPr>
      </w:pPr>
      <w:r>
        <w:rPr>
          <w:sz w:val="18"/>
        </w:rPr>
        <w:t xml:space="preserve">Viale Valturio, 7 – 47923 Rimini </w:t>
      </w:r>
    </w:p>
    <w:p>
      <w:pPr>
        <w:pStyle w:val="Normal"/>
        <w:rPr>
          <w:sz w:val="18"/>
        </w:rPr>
      </w:pPr>
      <w:r>
        <w:rPr>
          <w:sz w:val="18"/>
        </w:rPr>
        <w:t>Ufficio stampa 349 3413275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567" w:right="560" w:header="562" w:top="619" w:footer="872" w:bottom="929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nev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  <w:p>
    <w:pPr>
      <w:pStyle w:val="Normal"/>
      <w:jc w:val="center"/>
      <w:rPr>
        <w:rFonts w:ascii="Geneva" w:hAnsi="Geneva"/>
        <w:sz w:val="20"/>
        <w:szCs w:val="20"/>
        <w:lang w:val="en-US"/>
      </w:rPr>
    </w:pPr>
    <w:r>
      <w:rPr>
        <w:rFonts w:ascii="Geneva" w:hAnsi="Geneva"/>
        <w:sz w:val="20"/>
        <w:szCs w:val="20"/>
        <w:lang w:val="en-US"/>
      </w:rPr>
      <w:drawing>
        <wp:anchor behindDoc="1" distT="0" distB="0" distL="114300" distR="114300" simplePos="0" locked="0" layoutInCell="1" allowOverlap="1" relativeHeight="5">
          <wp:simplePos x="0" y="0"/>
          <wp:positionH relativeFrom="margin">
            <wp:posOffset>3052445</wp:posOffset>
          </wp:positionH>
          <wp:positionV relativeFrom="paragraph">
            <wp:posOffset>47625</wp:posOffset>
          </wp:positionV>
          <wp:extent cx="718185" cy="718185"/>
          <wp:effectExtent l="0" t="0" r="0" b="0"/>
          <wp:wrapTopAndBottom/>
          <wp:docPr id="3" name="Immagin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8185" cy="7181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0" distT="0" distB="0" distL="89535" distR="89535" simplePos="0" locked="0" layoutInCell="1" allowOverlap="1" relativeHeight="9">
              <wp:simplePos x="0" y="0"/>
              <wp:positionH relativeFrom="page">
                <wp:posOffset>149225</wp:posOffset>
              </wp:positionH>
              <wp:positionV relativeFrom="paragraph">
                <wp:posOffset>-98425</wp:posOffset>
              </wp:positionV>
              <wp:extent cx="7245350" cy="63500"/>
              <wp:effectExtent l="0" t="0" r="0" b="0"/>
              <wp:wrapSquare wrapText="bothSides"/>
              <wp:docPr id="4" name="Cornice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45350" cy="63500"/>
                      </a:xfrm>
                      <a:prstGeom prst="rect"/>
                    </wps:spPr>
                    <wps:txbx>
                      <w:txbxContent>
                        <w:tbl>
                          <w:tblPr>
                            <w:tblpPr w:bottomFromText="0" w:horzAnchor="page" w:leftFromText="141" w:rightFromText="141" w:tblpX="305" w:tblpY="-155" w:topFromText="0" w:vertAnchor="text"/>
                            <w:tblW w:w="11410" w:type="dxa"/>
                            <w:jc w:val="left"/>
                            <w:tblInd w:w="0" w:type="dxa"/>
                            <w:tblBorders>
                              <w:top w:val="single" w:sz="18" w:space="0" w:color="FF0000"/>
                            </w:tblBorders>
                            <w:tblCellMar>
                              <w:top w:w="0" w:type="dxa"/>
                              <w:left w:w="70" w:type="dxa"/>
                              <w:bottom w:w="0" w:type="dxa"/>
                              <w:right w:w="70" w:type="dxa"/>
                            </w:tblCellMar>
                            <w:tblLook w:firstRow="0" w:noVBand="0" w:lastRow="0" w:firstColumn="0" w:lastColumn="0" w:noHBand="0" w:val="0000"/>
                          </w:tblPr>
                          <w:tblGrid>
                            <w:gridCol w:w="11410"/>
                          </w:tblGrid>
                          <w:tr>
                            <w:trPr>
                              <w:trHeight w:val="100" w:hRule="atLeast"/>
                            </w:trPr>
                            <w:tc>
                              <w:tcPr>
                                <w:tcW w:w="11410" w:type="dxa"/>
                                <w:tcBorders>
                                  <w:top w:val="single" w:sz="18" w:space="0" w:color="FF0000"/>
                                </w:tcBorders>
                                <w:shd w:fill="auto" w:val="clear"/>
                              </w:tcPr>
                              <w:p>
                                <w:pPr>
                                  <w:pStyle w:val="Normal"/>
                                  <w:jc w:val="center"/>
                                  <w:rPr>
                                    <w:rFonts w:ascii="Geneva" w:hAnsi="Geneva"/>
                                    <w:b/>
                                    <w:b/>
                                    <w:sz w:val="4"/>
                                    <w:szCs w:val="4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Geneva" w:hAnsi="Geneva"/>
                                    <w:b/>
                                    <w:sz w:val="4"/>
                                    <w:szCs w:val="4"/>
                                    <w:lang w:val="en-US"/>
                                  </w:rPr>
                                </w:r>
                              </w:p>
                            </w:tc>
                          </w:tr>
                        </w:tbl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rotation:0;width:570.5pt;height:5pt;mso-wrap-distance-left:7.05pt;mso-wrap-distance-right:7.05pt;mso-wrap-distance-top:0pt;mso-wrap-distance-bottom:0pt;margin-top:-7.75pt;mso-position-vertical-relative:text;margin-left:11.75pt;mso-position-horizontal-relative:page">
              <v:textbox inset="0in,0in,0in,0in">
                <w:txbxContent>
                  <w:tbl>
                    <w:tblPr>
                      <w:tblpPr w:bottomFromText="0" w:horzAnchor="page" w:leftFromText="141" w:rightFromText="141" w:tblpX="305" w:tblpY="-155" w:topFromText="0" w:vertAnchor="text"/>
                      <w:tblW w:w="11410" w:type="dxa"/>
                      <w:jc w:val="left"/>
                      <w:tblInd w:w="0" w:type="dxa"/>
                      <w:tblBorders>
                        <w:top w:val="single" w:sz="18" w:space="0" w:color="FF0000"/>
                      </w:tblBorders>
                      <w:tblCellMar>
                        <w:top w:w="0" w:type="dxa"/>
                        <w:left w:w="70" w:type="dxa"/>
                        <w:bottom w:w="0" w:type="dxa"/>
                        <w:right w:w="70" w:type="dxa"/>
                      </w:tblCellMar>
                      <w:tblLook w:firstRow="0" w:noVBand="0" w:lastRow="0" w:firstColumn="0" w:lastColumn="0" w:noHBand="0" w:val="0000"/>
                    </w:tblPr>
                    <w:tblGrid>
                      <w:gridCol w:w="11410"/>
                    </w:tblGrid>
                    <w:tr>
                      <w:trPr>
                        <w:trHeight w:val="100" w:hRule="atLeast"/>
                      </w:trPr>
                      <w:tc>
                        <w:tcPr>
                          <w:tcW w:w="11410" w:type="dxa"/>
                          <w:tcBorders>
                            <w:top w:val="single" w:sz="18" w:space="0" w:color="FF0000"/>
                          </w:tcBorders>
                          <w:shd w:fill="auto" w:val="clear"/>
                        </w:tcPr>
                        <w:p>
                          <w:pPr>
                            <w:pStyle w:val="Normal"/>
                            <w:jc w:val="center"/>
                            <w:rPr>
                              <w:rFonts w:ascii="Geneva" w:hAnsi="Geneva"/>
                              <w:b/>
                              <w:b/>
                              <w:sz w:val="4"/>
                              <w:szCs w:val="4"/>
                              <w:lang w:val="en-US"/>
                            </w:rPr>
                          </w:pPr>
                          <w:r>
                            <w:rPr>
                              <w:rFonts w:ascii="Geneva" w:hAnsi="Geneva"/>
                              <w:b/>
                              <w:sz w:val="4"/>
                              <w:szCs w:val="4"/>
                              <w:lang w:val="en-US"/>
                            </w:rPr>
                          </w:r>
                        </w:p>
                      </w:tc>
                    </w:tr>
                  </w:tbl>
                </w:txbxContent>
              </v:textbox>
              <w10:wrap type="square"/>
            </v:rect>
          </w:pict>
        </mc:Fallback>
      </mc:AlternateContent>
    </w:r>
  </w:p>
  <w:p>
    <w:pPr>
      <w:pStyle w:val="Pidipagin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1701" w:hanging="0"/>
      <w:rPr>
        <w:rFonts w:ascii="Geneva" w:hAnsi="Geneva"/>
        <w:b/>
        <w:b/>
        <w:sz w:val="44"/>
        <w:szCs w:val="44"/>
        <w:lang w:val="en-US"/>
      </w:rPr>
    </w:pPr>
    <w:r>
      <w:rPr>
        <w:rFonts w:ascii="Geneva" w:hAnsi="Geneva"/>
        <w:b/>
        <w:sz w:val="44"/>
        <w:szCs w:val="44"/>
        <w:lang w:val="en-US"/>
      </w:rPr>
      <w:drawing>
        <wp:anchor behindDoc="1" distT="0" distB="12700" distL="114300" distR="127000" simplePos="0" locked="0" layoutInCell="1" allowOverlap="1" relativeHeight="3">
          <wp:simplePos x="0" y="0"/>
          <wp:positionH relativeFrom="margin">
            <wp:posOffset>2857500</wp:posOffset>
          </wp:positionH>
          <wp:positionV relativeFrom="paragraph">
            <wp:posOffset>-218440</wp:posOffset>
          </wp:positionV>
          <wp:extent cx="1028700" cy="1028700"/>
          <wp:effectExtent l="0" t="0" r="0" b="0"/>
          <wp:wrapTopAndBottom/>
          <wp:docPr id="1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ind w:left="1701" w:hanging="0"/>
      <w:rPr>
        <w:rFonts w:ascii="Geneva" w:hAnsi="Geneva"/>
        <w:b/>
        <w:b/>
        <w:sz w:val="44"/>
        <w:szCs w:val="44"/>
        <w:lang w:val="en-US"/>
      </w:rPr>
    </w:pPr>
    <w:r>
      <w:rPr>
        <w:rFonts w:ascii="Geneva" w:hAnsi="Geneva"/>
        <w:b/>
        <w:sz w:val="44"/>
        <w:szCs w:val="44"/>
        <w:lang w:val="en-US"/>
      </w:rPr>
    </w:r>
  </w:p>
  <w:p>
    <w:pPr>
      <w:pStyle w:val="Normal"/>
      <w:shd w:val="clear" w:color="auto" w:fill="FFFFFF" w:themeFill="background1"/>
      <w:rPr>
        <w:rFonts w:ascii="Geneva" w:hAnsi="Geneva"/>
        <w:b/>
        <w:b/>
        <w:lang w:val="en-US"/>
      </w:rPr>
    </w:pPr>
    <w:r>
      <w:rPr>
        <w:rFonts w:ascii="Geneva" w:hAnsi="Geneva"/>
        <w:b/>
        <w:lang w:val="en-US"/>
      </w:rPr>
    </w:r>
  </w:p>
  <w:p>
    <w:pPr>
      <w:pStyle w:val="Normal"/>
      <w:shd w:val="clear" w:color="auto" w:fill="FFFFFF" w:themeFill="background1"/>
      <w:rPr>
        <w:rFonts w:ascii="Geneva" w:hAnsi="Geneva"/>
        <w:sz w:val="18"/>
        <w:szCs w:val="18"/>
      </w:rPr>
    </w:pPr>
    <w:r>
      <w:rPr>
        <w:rFonts w:ascii="Geneva" w:hAnsi="Geneva"/>
        <w:sz w:val="18"/>
        <w:szCs w:val="18"/>
      </w:rPr>
    </w:r>
  </w:p>
  <w:p>
    <w:pPr>
      <w:pStyle w:val="Normal"/>
      <w:shd w:val="clear" w:color="auto" w:fill="FFFFFF" w:themeFill="background1"/>
      <w:rPr>
        <w:rFonts w:ascii="Geneva" w:hAnsi="Geneva"/>
        <w:sz w:val="18"/>
        <w:szCs w:val="18"/>
      </w:rPr>
    </w:pPr>
    <w:r>
      <w:rPr>
        <w:rFonts w:ascii="Geneva" w:hAnsi="Geneva"/>
        <w:sz w:val="18"/>
        <w:szCs w:val="18"/>
      </w:rPr>
    </w:r>
    <w:r>
      <mc:AlternateContent>
        <mc:Choice Requires="wps">
          <w:drawing>
            <wp:anchor behindDoc="0" distT="0" distB="0" distL="89535" distR="89535" simplePos="0" locked="0" layoutInCell="1" allowOverlap="1" relativeHeight="7">
              <wp:simplePos x="0" y="0"/>
              <wp:positionH relativeFrom="page">
                <wp:posOffset>107950</wp:posOffset>
              </wp:positionH>
              <wp:positionV relativeFrom="paragraph">
                <wp:posOffset>70485</wp:posOffset>
              </wp:positionV>
              <wp:extent cx="7245350" cy="63500"/>
              <wp:effectExtent l="0" t="0" r="0" b="0"/>
              <wp:wrapSquare wrapText="bothSides"/>
              <wp:docPr id="2" name="Cornic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45350" cy="63500"/>
                      </a:xfrm>
                      <a:prstGeom prst="rect"/>
                    </wps:spPr>
                    <wps:txbx>
                      <w:txbxContent>
                        <w:tbl>
                          <w:tblPr>
                            <w:tblpPr w:bottomFromText="0" w:horzAnchor="page" w:leftFromText="141" w:rightFromText="141" w:tblpX="239" w:tblpY="111" w:topFromText="0" w:vertAnchor="text"/>
                            <w:tblW w:w="11410" w:type="dxa"/>
                            <w:jc w:val="left"/>
                            <w:tblInd w:w="0" w:type="dxa"/>
                            <w:tblBorders>
                              <w:top w:val="single" w:sz="18" w:space="0" w:color="FF0000"/>
                            </w:tblBorders>
                            <w:tblCellMar>
                              <w:top w:w="0" w:type="dxa"/>
                              <w:left w:w="70" w:type="dxa"/>
                              <w:bottom w:w="0" w:type="dxa"/>
                              <w:right w:w="70" w:type="dxa"/>
                            </w:tblCellMar>
                            <w:tblLook w:firstRow="0" w:noVBand="0" w:lastRow="0" w:firstColumn="0" w:lastColumn="0" w:noHBand="0" w:val="0000"/>
                          </w:tblPr>
                          <w:tblGrid>
                            <w:gridCol w:w="11410"/>
                          </w:tblGrid>
                          <w:tr>
                            <w:trPr>
                              <w:trHeight w:val="100" w:hRule="atLeast"/>
                            </w:trPr>
                            <w:tc>
                              <w:tcPr>
                                <w:tcW w:w="11410" w:type="dxa"/>
                                <w:tcBorders>
                                  <w:top w:val="single" w:sz="18" w:space="0" w:color="FF0000"/>
                                </w:tcBorders>
                                <w:shd w:fill="auto" w:val="clear"/>
                              </w:tcPr>
                              <w:p>
                                <w:pPr>
                                  <w:pStyle w:val="Intestazione"/>
                                  <w:rPr>
                                    <w:b/>
                                    <w:b/>
                                    <w:sz w:val="4"/>
                                    <w:szCs w:val="4"/>
                                  </w:rPr>
                                </w:pPr>
                                <w:r>
                                  <w:rPr>
                                    <w:b/>
                                    <w:sz w:val="4"/>
                                    <w:szCs w:val="4"/>
                                  </w:rPr>
                                </w:r>
                              </w:p>
                            </w:tc>
                          </w:tr>
                        </w:tbl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rotation:0;width:570.5pt;height:5pt;mso-wrap-distance-left:7.05pt;mso-wrap-distance-right:7.05pt;mso-wrap-distance-top:0pt;mso-wrap-distance-bottom:0pt;margin-top:5.55pt;mso-position-vertical-relative:text;margin-left:8.5pt;mso-position-horizontal-relative:page">
              <v:textbox inset="0in,0in,0in,0in">
                <w:txbxContent>
                  <w:tbl>
                    <w:tblPr>
                      <w:tblpPr w:bottomFromText="0" w:horzAnchor="page" w:leftFromText="141" w:rightFromText="141" w:tblpX="239" w:tblpY="111" w:topFromText="0" w:vertAnchor="text"/>
                      <w:tblW w:w="11410" w:type="dxa"/>
                      <w:jc w:val="left"/>
                      <w:tblInd w:w="0" w:type="dxa"/>
                      <w:tblBorders>
                        <w:top w:val="single" w:sz="18" w:space="0" w:color="FF0000"/>
                      </w:tblBorders>
                      <w:tblCellMar>
                        <w:top w:w="0" w:type="dxa"/>
                        <w:left w:w="70" w:type="dxa"/>
                        <w:bottom w:w="0" w:type="dxa"/>
                        <w:right w:w="70" w:type="dxa"/>
                      </w:tblCellMar>
                      <w:tblLook w:firstRow="0" w:noVBand="0" w:lastRow="0" w:firstColumn="0" w:lastColumn="0" w:noHBand="0" w:val="0000"/>
                    </w:tblPr>
                    <w:tblGrid>
                      <w:gridCol w:w="11410"/>
                    </w:tblGrid>
                    <w:tr>
                      <w:trPr>
                        <w:trHeight w:val="100" w:hRule="atLeast"/>
                      </w:trPr>
                      <w:tc>
                        <w:tcPr>
                          <w:tcW w:w="11410" w:type="dxa"/>
                          <w:tcBorders>
                            <w:top w:val="single" w:sz="18" w:space="0" w:color="FF0000"/>
                          </w:tcBorders>
                          <w:shd w:fill="auto" w:val="clear"/>
                        </w:tcPr>
                        <w:p>
                          <w:pPr>
                            <w:pStyle w:val="Intestazione"/>
                            <w:rPr>
                              <w:b/>
                              <w:b/>
                              <w:sz w:val="4"/>
                              <w:szCs w:val="4"/>
                            </w:rPr>
                          </w:pPr>
                          <w:r>
                            <w:rPr>
                              <w:b/>
                              <w:sz w:val="4"/>
                              <w:szCs w:val="4"/>
                            </w:rPr>
                          </w:r>
                        </w:p>
                      </w:tc>
                    </w:tr>
                  </w:tbl>
                </w:txbxContent>
              </v:textbox>
              <w10:wrap type="square"/>
            </v:rect>
          </w:pict>
        </mc:Fallback>
      </mc:AlternateContent>
    </w:r>
  </w:p>
  <w:p>
    <w:pPr>
      <w:pStyle w:val="Intestazione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sid w:val="0029260e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it-IT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29260e"/>
    <w:rPr>
      <w:rFonts w:cs="Arial"/>
      <w:sz w:val="22"/>
      <w:szCs w:val="22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29260e"/>
    <w:rPr>
      <w:rFonts w:cs="Arial"/>
      <w:sz w:val="22"/>
      <w:szCs w:val="22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Intestazione">
    <w:name w:val="Header"/>
    <w:basedOn w:val="Normal"/>
    <w:link w:val="IntestazioneCarattere"/>
    <w:uiPriority w:val="99"/>
    <w:unhideWhenUsed/>
    <w:rsid w:val="0029260e"/>
    <w:pPr>
      <w:tabs>
        <w:tab w:val="center" w:pos="4819" w:leader="none"/>
        <w:tab w:val="right" w:pos="9638" w:leader="none"/>
      </w:tabs>
    </w:pPr>
    <w:rPr>
      <w:rFonts w:ascii="Calibri" w:hAnsi="Calibri" w:eastAsia="Calibri" w:cs="Arial" w:asciiTheme="minorHAnsi" w:eastAsiaTheme="minorHAnsi" w:hAnsiTheme="minorHAnsi"/>
      <w:sz w:val="22"/>
      <w:szCs w:val="22"/>
      <w:lang w:eastAsia="en-US"/>
    </w:rPr>
  </w:style>
  <w:style w:type="paragraph" w:styleId="Pidipagina">
    <w:name w:val="Footer"/>
    <w:basedOn w:val="Normal"/>
    <w:link w:val="PidipaginaCarattere"/>
    <w:uiPriority w:val="99"/>
    <w:unhideWhenUsed/>
    <w:rsid w:val="0029260e"/>
    <w:pPr>
      <w:tabs>
        <w:tab w:val="center" w:pos="4819" w:leader="none"/>
        <w:tab w:val="right" w:pos="9638" w:leader="none"/>
      </w:tabs>
    </w:pPr>
    <w:rPr>
      <w:rFonts w:ascii="Calibri" w:hAnsi="Calibri" w:eastAsia="Calibri" w:cs="Arial" w:asciiTheme="minorHAnsi" w:eastAsiaTheme="minorHAnsi" w:hAnsiTheme="minorHAnsi"/>
      <w:sz w:val="22"/>
      <w:szCs w:val="22"/>
      <w:lang w:eastAsia="en-US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gi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gif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Application>LibreOffice/6.0.6.2$Windows_X86_64 LibreOffice_project/0c292870b25a325b5ed35f6b45599d2ea4458e77</Application>
  <Pages>2</Pages>
  <Words>540</Words>
  <Characters>3085</Characters>
  <CharactersWithSpaces>3614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2018-09-03T16:23:00Z</dcterms:created>
  <dc:creator>Kiklos 1</dc:creator>
  <dc:description/>
  <dc:language>it-IT</dc:language>
  <cp:lastModifiedBy/>
  <cp:lastPrinted>2019-10-02T14:14:00Z</cp:lastPrinted>
  <dcterms:modified xsi:type="dcterms:W3CDTF">2019-10-07T12:16:45Z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